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OBVEZNIKA: OSNOVNA ŠKOLA ZDENKA TURKOVIĆA KUTJEVO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ADRESA: Republike Hrvatske 26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OIB: 15192899753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RKP: 9706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MB: 03310159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Razdjel: 000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Šifra djelatnosti: 8520 (Osnovno obrazovanje)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Šifra županije: 11 (Županija: Požeško-slavonska)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IBAN: HR6725000091501152230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OZNAKA RAZDOBLJA: 2022-12</w:t>
      </w:r>
    </w:p>
    <w:p>
      <w:pPr>
        <w:pStyle w:val="Bezproreda"/>
        <w:jc w:val="both"/>
        <w:rPr/>
      </w:pPr>
      <w:r>
        <w:rPr/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proreda"/>
        <w:jc w:val="center"/>
        <w:rPr/>
      </w:pPr>
      <w:r>
        <w:rPr>
          <w:rStyle w:val="Zadanifontodlomka"/>
          <w:rFonts w:ascii="Times New Roman" w:hAnsi="Times New Roman"/>
          <w:b/>
          <w:sz w:val="24"/>
          <w:szCs w:val="24"/>
        </w:rPr>
        <w:t>BILJEŠKE UZ FINANCIJSKE IZVJEŠTAJE ZA RAZDOBLJE</w:t>
      </w:r>
    </w:p>
    <w:p>
      <w:pPr>
        <w:pStyle w:val="Bezproreda"/>
        <w:numPr>
          <w:ilvl w:val="0"/>
          <w:numId w:val="4"/>
        </w:numPr>
        <w:jc w:val="center"/>
        <w:rPr/>
      </w:pPr>
      <w:r>
        <w:rPr>
          <w:rStyle w:val="Zadanifontodlomka"/>
          <w:rFonts w:ascii="Times New Roman" w:hAnsi="Times New Roman"/>
          <w:b/>
          <w:sz w:val="24"/>
          <w:szCs w:val="24"/>
        </w:rPr>
        <w:t>SIJEČNJA –  31. PROSINCA 2022. GODINE</w:t>
      </w:r>
    </w:p>
    <w:p>
      <w:pPr>
        <w:pStyle w:val="Bezproreda"/>
        <w:tabs>
          <w:tab w:val="clear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Osnovna djelatnost Škole je odgoj i osnovno obrazovanje te ne obavlja niti jednu dodatnu ili gospodarsku djelatnost. Škola je proračunski korisnik jedinice lokalne i područne (regionalne) samouprave koji obavlja poslove u sklopu funkcija koje se decentraliziraju. Od 1.1.2021. godine posluje u sustavu Riznice Požeško-slavonske županije.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Škola nije obveznik PDV-a.</w:t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Škola posluje u skladu sa Zakonom o odgoju i obrazovanju u osnovnoj i srednjoj školi ( NN 87/08, 86/09, 92/10, 105/10, 90/11, 5/12, 16/12, 86/12, 126/12, 94/13, 152/14, 07/17, 68/18, 98/19 i 64/20) te Statutom škole. Vodi proračunsko računovodstvo temeljem Zakona o proračunu (NN 87/08, 136/12, 15/15), Pravilnika o proračunskom računovodstvu i računskom planu (NN 124/14, 115/15, 87/16, 3/18 i 126/19,108/20), a financijske izvještaje sastavlja i predaje u skladu s odredbama Pravilnika o financijskom izvještavanju u proračunskom računovodstvu (03/15, 93/15, 135/15, 2/17, 28/17, 112/18 i 126/19,145/20).</w:t>
      </w:r>
    </w:p>
    <w:p>
      <w:pPr>
        <w:pStyle w:val="Bezproreda"/>
        <w:jc w:val="both"/>
        <w:rPr/>
      </w:pPr>
      <w:r>
        <w:rPr/>
      </w:r>
    </w:p>
    <w:p>
      <w:pPr>
        <w:pStyle w:val="Bezproreda"/>
        <w:jc w:val="both"/>
        <w:rPr/>
      </w:pPr>
      <w:r>
        <w:rPr>
          <w:rStyle w:val="Zadanifontodlomka"/>
          <w:rFonts w:ascii="Times New Roman" w:hAnsi="Times New Roman"/>
          <w:sz w:val="24"/>
          <w:szCs w:val="24"/>
        </w:rPr>
        <w:t>Odgovorna osoba Škole je Milorad Bandalo, ravnatelj.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Bilješke uz financijske izvještaje sastavljala je Antonija Pavlović, osoba za zamjeni voditelja računovodstva.</w:t>
      </w:r>
    </w:p>
    <w:p>
      <w:pPr>
        <w:pStyle w:val="Bezproreda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Bilješke uz OBRAZAC BILANCA na dan 31. prosinca 2022.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Popis ugovornih odnosa i slično koji uz ispunjavanje određenih uvjeta mogu postati obveze ili imovina – škola nema ugovorenih odnosa kao što su dana kreditna pisma, hipoteke i slično.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B002 Nefinancijska imovina – na kraju razdoblja došlo je do smanjenja vrijednosti nefinancijske imovine u odnosu na prošlu godinu za 5%</w:t>
      </w:r>
    </w:p>
    <w:p>
      <w:pPr>
        <w:pStyle w:val="Normal"/>
        <w:jc w:val="both"/>
        <w:rPr/>
      </w:pPr>
      <w:r>
        <w:rPr/>
        <w:t>Vrijednost imovine se smanjila za ispravak vrijednosti za 2022. godinu u iznosu od 321.879,17 kn.</w:t>
      </w:r>
    </w:p>
    <w:p>
      <w:pPr>
        <w:pStyle w:val="Normal"/>
        <w:jc w:val="both"/>
        <w:rPr/>
      </w:pPr>
      <w:r>
        <w:rPr/>
        <w:t>Povećala se vrijednost imovine za nabavu: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Računala i računalne opreme u vrijednosti od 30.105,55 kn,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Školskog namještaja 9.561,25 kn,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Opreme za grijanje, ventilaciju i hlađenje 29.949,00 kn,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Ostale opreme za 7.257,50 kn,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Knjiga u knjižnici i udžbenika za 26.117,87 kn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Šifra1 Financijska imovina – sastoji se od: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Potraživanja za više plaćene poreze i doprinose u iznosu od 3.894,06 kn,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Ostala potraživanja (potraživanja za naknade koje se refundiraju – bolovanje preko 42 dana) u iznosu od 33.034,18 kn,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Potraživanja za prihode poslovanja u iznosu od 353.016,84 kn.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</w:tabs>
        <w:ind w:left="57" w:hanging="0"/>
        <w:jc w:val="both"/>
        <w:rPr/>
      </w:pPr>
      <w:r>
        <w:rPr/>
        <w:t>Šifra922 Višak/manjak prihoda poslovanja – izvršena je korekcija rezultata kako slijedi</w:t>
      </w:r>
    </w:p>
    <w:tbl>
      <w:tblPr>
        <w:tblW w:w="8908" w:type="dxa"/>
        <w:jc w:val="left"/>
        <w:tblInd w:w="7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98"/>
        <w:gridCol w:w="1420"/>
        <w:gridCol w:w="1467"/>
        <w:gridCol w:w="1505"/>
        <w:gridCol w:w="1473"/>
      </w:tblGrid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Pozicija na dan 31.12.2022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ŠIFRA PR-RAS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PR-RAS IZNOS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Kapitalni prijenos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Bilanca</w:t>
            </w:r>
          </w:p>
        </w:tc>
      </w:tr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92211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Višak prihoda poslovanja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X001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115.006,37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-53.184,06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92211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Višak prihoda poslovanja preneseni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9221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699.083,56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Ukupno višak prihoda poslovanja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814.148,93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-53.184,06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760.965,87</w:t>
            </w:r>
          </w:p>
        </w:tc>
      </w:tr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92222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Manjak prihoda od nefinancijske imovine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- 102.991,17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+ 53.184,06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92222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Manjak prihoda od nefinancijske imovine preneseni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-441.789,92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Ukupno manjak prihoda od nefinancijske imovine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-544.781,09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+53.184,06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-491.597,03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Tijekom 2022. godine evidentirani su na računima kapitalnih sredstava iznosi koji su utrošeni odnosno namijenjeni za nabavu dugotrajne imovine:</w:t>
      </w:r>
    </w:p>
    <w:p>
      <w:pPr>
        <w:pStyle w:val="Normal"/>
        <w:jc w:val="both"/>
        <w:rPr/>
      </w:pPr>
      <w:r>
        <w:rPr/>
        <w:t>636220 Kapitale pomoći državnog proračuna u iznosu od 26.484,06 kn (udžbenici i lektire)</w:t>
      </w:r>
    </w:p>
    <w:p>
      <w:pPr>
        <w:pStyle w:val="Normal"/>
        <w:jc w:val="both"/>
        <w:rPr/>
      </w:pPr>
      <w:r>
        <w:rPr/>
        <w:t>671210 Prihodi iz nadležnog proračuna za financiranje rashoda za nabavu nefinancijske imovne u iznosu od 26.700,00 kn.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Provedena je korekcija rezultata na način da se za iznos od 53.184,06 kn zadužuje račun viška prihoda poslovanja, a odobrava račun manjka prihoda od nefinancijske imovine. Provedbom korekcije smanjio se manjak prihoda od nefinancijske imovine.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Šifra 996 Izvanbilančni zapisi – knjižena je oprema (tableti) iz projekta Podrška provedbi Cjelovite kurikularne reforme prema uputama Ministarstva znanosti i obrazovanja.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Bilješke uz IZVJEŠTAJ O PRIHODIMA I RASHODIMA, PRIMICIMA I IZDACIMA za razdoblje od 1. siječnja do 31. prosinca 2022.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PRIHODI</w:t>
      </w:r>
    </w:p>
    <w:p>
      <w:pPr>
        <w:pStyle w:val="Normal"/>
        <w:jc w:val="both"/>
        <w:rPr/>
      </w:pPr>
      <w:r>
        <w:rPr>
          <w:rStyle w:val="Zadanifontodlomka"/>
          <w:color w:val="auto"/>
        </w:rPr>
        <w:t>Šifra 6361 Tekuće pomoći proračunskim korisnicima iz proračuna koji im nije nadležan  Ministarstvo znanosti i obrazovanja za plaće zaposlenika i ostala primanja po Kolektivnom ugovoru u iznosu od 9.739.212,44 kn, te pomoći grada Kutjeva za nabavu radnih bilježnica i mapa za likovni odgoj za sve učenike škole u iznosu od 168.107,76 kn.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6362 Kapitalne pomoći proračunskim korisnicima iz proračuna koji im nije nadležan –Ministarstvo znanosti i obrazovanja za nabavu udžbenika i lektire u iznosu od 26.484,06 kn.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6526 Ostali nespomenuti prihodi – sufinanciranje cijene usluge, participacije i slično uplate roditelja za školsku kuhinju 57.495,00 kn , naplata štete u iznosu 3.068,75 kn uplate roditelja za popravak tableta, te ostali nespomenuti prihodi 3.970,00 kn za voditelje Županijskog stručnog vijeća.</w:t>
      </w:r>
    </w:p>
    <w:p>
      <w:pPr>
        <w:pStyle w:val="Normal"/>
        <w:jc w:val="both"/>
        <w:rPr/>
      </w:pPr>
      <w:r>
        <w:rPr>
          <w:rStyle w:val="Zadanifontodlomka"/>
          <w:color w:val="auto"/>
        </w:rPr>
        <w:t>Šifra 6615 Prihodi od pruženih usluga – najam dvorane u iznosu od 3.681,45 kn.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6631 Tekuće donacije – tekuće donacije od neprofitnih organizacija u iznosu od 4.400,00 kn od strane APP d.d. Požega i Piper d.o.o.</w:t>
      </w:r>
    </w:p>
    <w:p>
      <w:pPr>
        <w:pStyle w:val="Normal"/>
        <w:jc w:val="both"/>
        <w:rPr/>
      </w:pPr>
      <w:r>
        <w:rPr>
          <w:rStyle w:val="Zadanifontodlomka"/>
          <w:color w:val="auto"/>
        </w:rPr>
        <w:t>Šifra 6632 Kapitalne donacije – od strane DM - solarna klupa i Končar – igralište PŠ Vetovo.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6711 Prihodi iz nadležnog proračuna za financiranje rashoda poslovanja -  prihodi iz nadležnog proračuna za decentralizirane funkcije, obrazujmo se zajedno, školska shema i obrok za 5.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6712 Prihodi iz nadležnog proračuna za financiranje rashoda za nabavu nefinancijske imovine – prihodi su izradu projektne dokumentacija u iznosu od 26.700,00 kn.</w:t>
      </w:r>
    </w:p>
    <w:p>
      <w:pPr>
        <w:pStyle w:val="Normal"/>
        <w:tabs>
          <w:tab w:val="clear" w:pos="720"/>
        </w:tabs>
        <w:ind w:left="36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RASHODI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31 Rashodi za zaposlene – rashodi za zaposlenike škole su u okviru sredstava koja su prihodovana od Ministarstva znanosti i obrazovanja za tu namjenu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321 Naknade troškova zaposlenima – rashodi za naknade troškova zaposlenima su u okviru planiranih. U odnosu na prošlu godinu imamo povećanje od 46,3% jer je situacija s COVID-19 dopustila više službenih putovanja i stručnog usavršavanja.</w:t>
      </w:r>
    </w:p>
    <w:p>
      <w:pPr>
        <w:pStyle w:val="Normal"/>
        <w:jc w:val="both"/>
        <w:rPr/>
      </w:pPr>
      <w:r>
        <w:rPr>
          <w:rStyle w:val="Zadanifontodlomka"/>
          <w:color w:val="auto"/>
        </w:rPr>
        <w:t>Šifra 322 Rashodi za materijal i energiju – rashodi za materijal i energiju su u okviru sredstava planiranih za tu namjenu. U odnosu na prošlu potrošnja je na istoj razini.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323 Rashodi za usluge – u okviru su sredstava planiranih za tu namjenu. U odnosu na prošlu 2021. godinu došlo je do smanjenja od 19%  najviše zbog konta 3232 Usluge tekućeg i investicijskog održavanja (smanjenje od 32,5%) i povećanja troškova za zdravstvene usluge (testiranje na COVID 19) od 92,3%.</w:t>
      </w:r>
    </w:p>
    <w:p>
      <w:pPr>
        <w:pStyle w:val="Normal"/>
        <w:jc w:val="both"/>
        <w:rPr/>
      </w:pPr>
      <w:r>
        <w:rPr>
          <w:rStyle w:val="Zadanifontodlomka"/>
          <w:color w:val="auto"/>
        </w:rPr>
        <w:t>Šifra 329 Ostali nespomenuti rashodi poslovanja – reprezentacija, članarine, pristojbe, troškovi sudskih postupaka i ostalo u iznosu od 39.845,18 kn.</w:t>
      </w:r>
    </w:p>
    <w:p>
      <w:pPr>
        <w:pStyle w:val="Normal"/>
        <w:jc w:val="both"/>
        <w:rPr/>
      </w:pPr>
      <w:r>
        <w:rPr>
          <w:rStyle w:val="Zadanifontodlomka"/>
          <w:color w:val="auto"/>
        </w:rPr>
        <w:t>Šifra 3722 Naknade građanima i kućanstvima na temelju osiguranja i druge naknade – rashodi su za nabavu radnih bilježnica i radnih udžbenika učenike u okviru sredstava dobivenih za tu namjenu od grada Kutjeva i Ministarstva znanosti i obrazovanja.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X006 Višak prihoda i primitaka raspoloživ u sljedećem razdoblju 269.368,84 kn a odnosi se na: višak prihoda poslovanja u iznosu od 760.965,87 kn te manjak prihoda od nefinancijske imovine u iznosu od 491.597,03 kn.</w:t>
      </w:r>
    </w:p>
    <w:p>
      <w:pPr>
        <w:pStyle w:val="Normal"/>
        <w:tabs>
          <w:tab w:val="clear" w:pos="720"/>
        </w:tabs>
        <w:ind w:left="360" w:hanging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auto"/>
        </w:rPr>
      </w:pPr>
      <w:r>
        <w:rPr>
          <w:b/>
          <w:bCs/>
          <w:i/>
          <w:iCs/>
          <w:color w:val="auto"/>
        </w:rPr>
        <w:t>Bilješke uz IZVJEŠTAJ O OBVEZAMA za razdoblje od 1. siječnja do 31. prosinca 2022.</w:t>
      </w:r>
    </w:p>
    <w:p>
      <w:pPr>
        <w:pStyle w:val="Normal"/>
        <w:jc w:val="both"/>
        <w:rPr>
          <w:i/>
          <w:i/>
          <w:iCs/>
          <w:color w:val="auto"/>
        </w:rPr>
      </w:pPr>
      <w:r>
        <w:rPr>
          <w:i/>
          <w:iCs/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Šifra V001 Stanje obveza na početku izvještajnog razdoblja iznosi 795.474,77 kn a odnosi se na: </w:t>
        <w:tab/>
        <w:tab/>
        <w:t>-     Obveze za zaposlene 696.206,48 kn,</w:t>
      </w:r>
    </w:p>
    <w:p>
      <w:pPr>
        <w:pStyle w:val="Normal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Obveze za materijalne rashode 59.665,49 kn,</w:t>
      </w:r>
    </w:p>
    <w:p>
      <w:pPr>
        <w:pStyle w:val="Normal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Ostale tekuće obveze 39.602,80 kn.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V007 Stanje dospjelih obveza na kraju izvještajnog razdoblja iznosi 322,67 kn.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Šifra ND 23 Stanje nedospjelih obveza na kraju izvještajnog razdoblja iznosi 108.029,57 kn a odnosi se na:</w:t>
      </w:r>
    </w:p>
    <w:p>
      <w:pPr>
        <w:pStyle w:val="Normal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Obveze za zaposlene 31.278,27 kn,</w:t>
      </w:r>
    </w:p>
    <w:p>
      <w:pPr>
        <w:pStyle w:val="Normal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Obveze za materijalne rashode 31.827,06 kn,</w:t>
      </w:r>
    </w:p>
    <w:p>
      <w:pPr>
        <w:pStyle w:val="Normal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Obveze za naknade građanima i kućanstvima 7.996,00 kn,</w:t>
      </w:r>
    </w:p>
    <w:p>
      <w:pPr>
        <w:pStyle w:val="Normal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Ostale tekuće obveze 36.928,24 kn: povrat poreza na dohodak zaposlenika po konačnom obračunu u iznosu od 3.655,48 kn  i bolovanja preko 42 dana u iznosu od 33.272,76 kn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auto"/>
        </w:rPr>
      </w:pPr>
      <w:r>
        <w:rPr>
          <w:b/>
          <w:bCs/>
          <w:i/>
          <w:iCs/>
          <w:color w:val="auto"/>
        </w:rPr>
        <w:t>Bilješke uz IZVJEŠTAJ O RASHODIMA PREMA FUNKCIJSKOJ KLASIFIKACIJI za razdoblje od 1.siječnja 2021. do 31. prosinca 2022.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Osnovne škole rashode ostvarene u proračunskoj godini iskazuju na poziciji Šifra 0912 osnovno obrazovanje. Škola je za rashode osnovnog obrazovanja potrošila 11.023.922,30 kn što je povećanje od 7% u odnosu na prošlu godinu.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Šifra 096 dodatne usluge u obrazovanju u iznosu od 149.303,13 kn odnose se na prehranu. 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auto"/>
        </w:rPr>
      </w:pPr>
      <w:r>
        <w:rPr>
          <w:b/>
          <w:bCs/>
          <w:i/>
          <w:iCs/>
          <w:color w:val="auto"/>
        </w:rPr>
        <w:t>Bilješke uz IZVJEŠTAJ O PROMJENAMA U VRIJEDNOSTI I OBUJMU IMOVINE I OBVEZA</w:t>
      </w:r>
    </w:p>
    <w:p>
      <w:pPr>
        <w:pStyle w:val="Normal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Ovaj obrazac predajem prazan jer nije bilo promjena u obujmu i vrijednosti imovine i obveza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U Kutjevu, 30.siječnja 2023.      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              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>Osoba za kontaktiranje: Antonija Pavlović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>Telefon: 034 255 088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>Zakonski predstavnik:</w:t>
      </w:r>
    </w:p>
    <w:p>
      <w:pPr>
        <w:pStyle w:val="Normal"/>
        <w:jc w:val="right"/>
        <w:rPr/>
      </w:pPr>
      <w:r>
        <w:rPr>
          <w:rStyle w:val="Zadanifontodlomka"/>
          <w:color w:val="auto"/>
        </w:rPr>
        <w:t>Ravnatelj škole: Milorad Bandalo, dipl.teolog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kern w:val="2"/>
        <w:sz w:val="24"/>
        <w:szCs w:val="24"/>
        <w:lang w:val="hr-H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hr-HR" w:eastAsia="zh-CN" w:bidi="hi-IN"/>
    </w:rPr>
  </w:style>
  <w:style w:type="character" w:styleId="Zadanifontodlomka">
    <w:name w:val="Zadani font odlomka"/>
    <w:qFormat/>
    <w:rPr/>
  </w:style>
  <w:style w:type="character" w:styleId="WWCharLFO1LVL1">
    <w:name w:val="WW_CharLFO1LVL1"/>
    <w:qFormat/>
    <w:rPr>
      <w:rFonts w:cs="Times New Roman"/>
      <w:b/>
      <w:sz w:val="24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3LVL1">
    <w:name w:val="WW_CharLFO3LVL1"/>
    <w:qFormat/>
    <w:rPr>
      <w:rFonts w:ascii="Liberation Serif" w:hAnsi="Liberation Serif" w:eastAsia="Segoe UI" w:cs="Tahoma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hr-HR" w:eastAsia="zh-CN" w:bidi="hi-IN"/>
    </w:rPr>
  </w:style>
  <w:style w:type="paragraph" w:styleId="TableNormal1">
    <w:name w:val="Table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hr-HR"/>
    </w:rPr>
  </w:style>
  <w:style w:type="paragraph" w:styleId="Bezproreda">
    <w:name w:val="Bez prored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hr-HR"/>
    </w:rPr>
  </w:style>
  <w:style w:type="paragraph" w:styleId="Sadrajitablice">
    <w:name w:val="Sadržaji tablice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</TotalTime>
  <Application>LibreOffice/7.2.2.2$Windows_X86_64 LibreOffice_project/02b2acce88a210515b4a5bb2e46cbfb63fe97d56</Application>
  <AppVersion>15.0000</AppVersion>
  <Pages>4</Pages>
  <Words>1312</Words>
  <Characters>7482</Characters>
  <CharactersWithSpaces>8777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2022-01-30T01:00:00Z</dcterms:created>
  <dc:creator>korisnik</dc:creator>
  <dc:description/>
  <dc:language>hr-HR</dc:language>
  <cp:lastModifiedBy>Ivan Pavlović</cp:lastModifiedBy>
  <cp:lastPrinted>2022-01-31T12:51:00Z</cp:lastPrinted>
  <dcterms:modified xsi:type="dcterms:W3CDTF">2023-01-29T13:23:00Z</dcterms:modified>
  <cp:revision>2</cp:revision>
  <dc:subject/>
  <dc:title/>
</cp:coreProperties>
</file>