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b03cd9dd84e2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9706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ZDENKA TURKOVIĆA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2.154.172,84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2.469.490,82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2.189.682,31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2.325.023,74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144.467,08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21.092,86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242.428,78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21.092,86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242.428,78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56.602,33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97.961,70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173,1</w:t>
            </w:r>
          </w:p>
        </w:tc>
      </w:tr>
    </w:tbl>
    <w:p>
      <w:pPr>
        <w:spacing w:before="0" w:after="0"/>
      </w:pPr>
    </w:p>
    <w:p>
      <w:r>
        <w:t xml:space="preserve">Osnovna djelatnost Škole je odgoj i osnovno obrazovanje te ne obavlja niti jednu dodatnu ili gospodarsku djelatnost. Škola je proračunski korisnik jedinice lokalne i područne (regionalne) samouprave koji obavlja poslove u sklopu funkcija koje se decentraliziraju. Od 1.1.2021. godine posluje u sustavu Riznice Požeško-slavonske županije. Škola nije obveznik PDV-a. Odgovorna osoba Škole je Milorad Bandalo, ravnatelj. Bilješke uz financijske izvještaje sastavljala je Ana Svoboda, voditeljica računovodstva na zamjeni. Škola je u 2025. godini ostvarila ukupne prihode poslovanja u iznosu od 2.469.490,82 eura, što predstavlja povećanje prihoda u odnosu na prošlu godinu godine za 14,6% dok su rashodi ove godine veći 16,1% u odnosu na prošlu godinu. Do povećanja rashoda a razmjerno sa time i prihoda je ponajviše došlo zbog povećanja rashoda za zaposlene (veći broj zaposlenih i rast plaća). Prihodi od prodaje nefinancijske imovine nisu ostvareni u promatranom razdoblju, dok su rashodi za nabavu nefinancijske imovine ostvareni u iznosu od 242.428,78 eura što predstavlja rast od 1.149%  u odnosu na isto razdoblje prošle godine. Do tako velikog rasta rashoda za nabavku nefinancijske imovine došlo je zbog toga što je tijekom 2025. godine nabavljen i ugrađen novi sustav grijanja. Prihodi za financiranje rashoda za nabavku nefinancijske imovine su prihodi nadležnog proračuna za finanicranje nabavke nefinancijske imovine koji su sastavni dio prihoda poslovanja. U razdoblju od 1.1. do 31.12.2025. nije bilo ostvarenih primitaka ni izdataka za financijsku imovinu i zaduživanje. Manjak prihoda i primitika u 2025. je 97.961,70 eura. Na takav rezultat je ponajviše utjecala promjena pravilnika proračunskom računovodstvu kojim se od 1.1.2025. ukidaju aktivna vremenska razgraničega, te je u 2025. godini knjiženo trinaest rashoda za plaće a dvanaest prihoda.</w:t>
      </w:r>
      <w:r>
        <w:br/>
      </w:r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1.781.410,54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1.945.290,78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r>
        <w:t xml:space="preserve">Povećanje plaća djelatnicima i povećanje broja djelatnika čija se plaća isplaćuje iz Ministarstva znanosti, obrazovanja i mladih.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19.756,90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83.345,34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421,9</w:t>
            </w:r>
          </w:p>
        </w:tc>
      </w:tr>
    </w:tbl>
    <w:p>
      <w:pPr>
        <w:spacing w:before="0" w:after="0"/>
      </w:pPr>
    </w:p>
    <w:p>
      <w:r>
        <w:t xml:space="preserve">Zadnja tri mjeseca 2024. godine se koristio ovaj konto prihoda za plaće pomoćnika u nastavi i školske sheme, dok se ovaj konto u 2025. godini koristio cijelo razdoblje zbog toga je tolika razlika u ostvarenom u 2024. i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180,4</w:t>
            </w:r>
          </w:p>
        </w:tc>
      </w:tr>
    </w:tbl>
    <w:p>
      <w:pPr>
        <w:spacing w:before="0" w:after="0"/>
      </w:pPr>
    </w:p>
    <w:p>
      <w:r>
        <w:t xml:space="preserve">Dvorana dana u najam više nego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230.413,95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7680,5</w:t>
            </w:r>
          </w:p>
        </w:tc>
      </w:tr>
    </w:tbl>
    <w:p>
      <w:pPr>
        <w:spacing w:before="0" w:after="0"/>
      </w:pPr>
    </w:p>
    <w:p>
      <w:r>
        <w:t xml:space="preserve">Ovaj prihod je korišten za podmirenje obveza koja se nastala prilikom nabavke nove kotlovnice i nabavke labaratorijske opreme za učionice kemije u matičnoj školi. U 2024. nije bilo tako velikih ulaganja u DI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1.670.227,12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2.035.069,27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121,8</w:t>
            </w:r>
          </w:p>
        </w:tc>
      </w:tr>
    </w:tbl>
    <w:p>
      <w:pPr>
        <w:spacing w:before="0" w:after="0"/>
      </w:pPr>
    </w:p>
    <w:p>
      <w:r>
        <w:t xml:space="preserve">Zbog ukidanja vremenskih razgraničenja u 2025. knjiženo trinaest plaća (u 2024. dvanaest), ali je došlo i do blagog povećanja plaća i broja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243.588,97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11.923,66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4,9</w:t>
            </w:r>
          </w:p>
        </w:tc>
      </w:tr>
    </w:tbl>
    <w:p>
      <w:pPr>
        <w:spacing w:before="0" w:after="0"/>
      </w:pPr>
    </w:p>
    <w:p>
      <w:r>
        <w:t xml:space="preserve">Tijekom 2024. godine radovi na obnovi područnih škola, u 2025. nije bilo radova tolikog opsega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21.092,86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242.428,78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1149,3</w:t>
            </w:r>
          </w:p>
        </w:tc>
      </w:tr>
    </w:tbl>
    <w:p>
      <w:pPr>
        <w:spacing w:before="0" w:after="0"/>
      </w:pPr>
    </w:p>
    <w:p>
      <w:r>
        <w:t xml:space="preserve">Nabavka nove kotlovnice (229.128,45 €)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169.994,98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Obračunati prihodi za plaće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557.594,64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747.753,89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134,1</w:t>
            </w:r>
          </w:p>
        </w:tc>
      </w:tr>
    </w:tbl>
    <w:p>
      <w:pPr>
        <w:spacing w:before="0" w:after="0"/>
      </w:pPr>
    </w:p>
    <w:p>
      <w:r>
        <w:t xml:space="preserve">U 2025. se povećala vrijednost nefinacijske imovine za 34,1% i to nabavljenjem sljedečeg:</w:t>
      </w:r>
    </w:p>
    <w:p>
      <w:r>
        <w:t xml:space="preserve">Računala i računalna oprema - 6.077,80 €</w:t>
      </w:r>
    </w:p>
    <w:p>
      <w:r>
        <w:t xml:space="preserve">Ostala uredska oprema - 2827,50 €</w:t>
      </w:r>
    </w:p>
    <w:p>
      <w:r>
        <w:t xml:space="preserve">Oprema za grijanje, ventilaciju i hlađenje - 229.128,45 €</w:t>
      </w:r>
    </w:p>
    <w:p>
      <w:r>
        <w:t xml:space="preserve">Labaratorijska oprema - 2.122,36 €</w:t>
      </w:r>
    </w:p>
    <w:p>
      <w:r>
        <w:t xml:space="preserve">Oprema - 1.177,50 €</w:t>
      </w:r>
    </w:p>
    <w:p>
      <w:r>
        <w:t xml:space="preserve">Knjige u knjižnicima - 2.311,72 €.</w:t>
      </w:r>
    </w:p>
    <w:p>
      <w:r>
        <w:t xml:space="preserve">Nabavkom nove opreme za grijanje (nova kotlovnica) postojeća kotlovnica se rashoduje. Ostatak vrijednosti stare kotlovnice je bio 3.546,25 €.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30.936,85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260.065,30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840,6</w:t>
            </w:r>
          </w:p>
        </w:tc>
      </w:tr>
    </w:tbl>
    <w:p>
      <w:pPr>
        <w:spacing w:before="0" w:after="0"/>
      </w:pPr>
    </w:p>
    <w:p>
      <w:r>
        <w:t xml:space="preserve">Nova kotlovnica (sustav grijanja)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74.407,97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253.266,62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340,4</w:t>
            </w:r>
          </w:p>
        </w:tc>
      </w:tr>
    </w:tbl>
    <w:p>
      <w:pPr>
        <w:spacing w:before="0" w:after="0"/>
      </w:pPr>
    </w:p>
    <w:p>
      <w:r>
        <w:t xml:space="preserve">Potraživanja za plaće radnika (novi pravilnik o proračunskom računovodstvu).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144.975,62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Ukidanje kontinuiranih rashoda budućih razdoblja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Promjenom pravilnika o proračunskom računovodstvu sa 1.1.2025. ukida se većina konta u skupini 239 (ostaju samo ostale nespomenute usluge 2395), temeljem navedenog stanje dan 31.12.2024. sa konta 239 prenosi se sa 1. siječnja 2025. na skupine i konta 27.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-17.976,99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-115.938,69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644,9</w:t>
            </w:r>
          </w:p>
        </w:tc>
      </w:tr>
    </w:tbl>
    <w:p>
      <w:pPr>
        <w:spacing w:before="0" w:after="0"/>
      </w:pPr>
    </w:p>
    <w:p>
      <w:r>
        <w:t xml:space="preserve">Šifra922 Višak/manjak prihoda poslovanja – izvršena je korekcija rezultata kako slijedi</w:t>
      </w:r>
    </w:p>
    <w:tbl>
      <w:tblPr>
        <w:tblStyle w:val="TableGrid"/>
        <w:tblW w:w="4592.415" w:type="pct"/>
      </w:tblPr>
      <w:tblGrid>
        <w:gridCol w:w="4341"/>
        <w:gridCol w:w="1890"/>
        <w:gridCol w:w="1847"/>
        <w:gridCol w:w="1547"/>
      </w:tblGrid>
      <w:tr>
        <w:trPr>
          <w:trHeight w:val="878" w:hRule="atLeast"/>
        </w:trPr>
        <w:tc>
          <w:tcPr>
            <w:tcW w:w="2255" w:type="pct"/>
            <w:vAlign w:val="center"/>
          </w:tcPr>
          <w:p>
            <w:r>
              <w:t xml:space="preserve">Pozicija na dan 31.12.2025.</w:t>
            </w:r>
          </w:p>
        </w:tc>
        <w:tc>
          <w:tcPr>
            <w:tcW w:w="981" w:type="pct"/>
            <w:vAlign w:val="center"/>
          </w:tcPr>
          <w:p>
            <w:r>
              <w:t xml:space="preserve">PR-RAS iznos (u €)</w:t>
            </w:r>
          </w:p>
        </w:tc>
        <w:tc>
          <w:tcPr>
            <w:tcW w:w="959" w:type="pct"/>
            <w:vAlign w:val="center"/>
          </w:tcPr>
          <w:p>
            <w:r>
              <w:t xml:space="preserve">Kapitalni prijenos (u €)</w:t>
            </w:r>
          </w:p>
        </w:tc>
        <w:tc>
          <w:tcPr>
            <w:tcW w:w="803" w:type="pct"/>
            <w:vAlign w:val="center"/>
          </w:tcPr>
          <w:p>
            <w:r>
              <w:t xml:space="preserve">Bilanca (u €)</w:t>
            </w:r>
          </w:p>
        </w:tc>
      </w:tr>
      <w:tr>
        <w:trPr>
          <w:trHeight w:val="542" w:hRule="atLeast"/>
        </w:trPr>
        <w:tc>
          <w:tcPr>
            <w:tcW w:w="2255" w:type="pct"/>
            <w:vAlign w:val="center"/>
          </w:tcPr>
          <w:p>
            <w:r>
              <w:t xml:space="preserve">Višak prihoda poslovanja</w:t>
            </w:r>
          </w:p>
        </w:tc>
        <w:tc>
          <w:tcPr>
            <w:tcW w:w="981" w:type="pct"/>
            <w:vAlign w:val="center"/>
          </w:tcPr>
          <w:p>
            <w:r>
              <w:t xml:space="preserve">144.467,08</w:t>
            </w:r>
          </w:p>
        </w:tc>
        <w:tc>
          <w:tcPr>
            <w:tcW w:w="959" w:type="pct"/>
            <w:vAlign w:val="center"/>
          </w:tcPr>
          <w:p>
            <w:r>
              <w:t xml:space="preserve">-233.821,70</w:t>
            </w:r>
          </w:p>
        </w:tc>
        <w:tc>
          <w:tcPr>
            <w:tcW w:w="803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878" w:hRule="atLeast"/>
        </w:trPr>
        <w:tc>
          <w:tcPr>
            <w:tcW w:w="2255" w:type="pct"/>
            <w:vAlign w:val="center"/>
          </w:tcPr>
          <w:p>
            <w:r>
              <w:t xml:space="preserve">Višak prihoda poslovanja preneseni</w:t>
            </w:r>
          </w:p>
        </w:tc>
        <w:tc>
          <w:tcPr>
            <w:tcW w:w="981" w:type="pct"/>
            <w:vAlign w:val="center"/>
          </w:tcPr>
          <w:p>
            <w:r>
              <w:t xml:space="preserve">75.365,69</w:t>
            </w:r>
          </w:p>
        </w:tc>
        <w:tc>
          <w:tcPr>
            <w:tcW w:w="959" w:type="pct"/>
            <w:vAlign w:val="center"/>
          </w:tcPr>
          <w:p>
            <w:r>
              <w:t xml:space="preserve"> </w:t>
            </w:r>
          </w:p>
        </w:tc>
        <w:tc>
          <w:tcPr>
            <w:tcW w:w="803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878" w:hRule="atLeast"/>
        </w:trPr>
        <w:tc>
          <w:tcPr>
            <w:tcW w:w="2255" w:type="pct"/>
            <w:vAlign w:val="center"/>
          </w:tcPr>
          <w:p>
            <w:r>
              <w:t xml:space="preserve">Ukupan manjak/višak prihoda poslovanja</w:t>
            </w:r>
          </w:p>
        </w:tc>
        <w:tc>
          <w:tcPr>
            <w:tcW w:w="981" w:type="pct"/>
            <w:vAlign w:val="center"/>
          </w:tcPr>
          <w:p>
            <w:r>
              <w:t xml:space="preserve">219832,77</w:t>
            </w:r>
          </w:p>
        </w:tc>
        <w:tc>
          <w:tcPr>
            <w:tcW w:w="959" w:type="pct"/>
            <w:vAlign w:val="center"/>
          </w:tcPr>
          <w:p>
            <w:r>
              <w:t xml:space="preserve">-233.821,70</w:t>
            </w:r>
          </w:p>
        </w:tc>
        <w:tc>
          <w:tcPr>
            <w:tcW w:w="803" w:type="pct"/>
            <w:vAlign w:val="center"/>
          </w:tcPr>
          <w:p>
            <w:r>
              <w:t xml:space="preserve">-13.988,93 (manjak)</w:t>
            </w:r>
          </w:p>
        </w:tc>
      </w:tr>
      <w:tr>
        <w:trPr>
          <w:trHeight w:val="878" w:hRule="atLeast"/>
        </w:trPr>
        <w:tc>
          <w:tcPr>
            <w:tcW w:w="2255" w:type="pct"/>
            <w:vAlign w:val="center"/>
          </w:tcPr>
          <w:p>
            <w:r>
              <w:t xml:space="preserve">Manjak prihoda od nefinancijske imovine</w:t>
            </w:r>
          </w:p>
        </w:tc>
        <w:tc>
          <w:tcPr>
            <w:tcW w:w="981" w:type="pct"/>
            <w:vAlign w:val="center"/>
          </w:tcPr>
          <w:p>
            <w:r>
              <w:t xml:space="preserve">242.428,78</w:t>
            </w:r>
          </w:p>
        </w:tc>
        <w:tc>
          <w:tcPr>
            <w:tcW w:w="959" w:type="pct"/>
            <w:vAlign w:val="center"/>
          </w:tcPr>
          <w:p>
            <w:r>
              <w:t xml:space="preserve">233.821,70</w:t>
            </w:r>
          </w:p>
        </w:tc>
        <w:tc>
          <w:tcPr>
            <w:tcW w:w="803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1214" w:hRule="atLeast"/>
        </w:trPr>
        <w:tc>
          <w:tcPr>
            <w:tcW w:w="2255" w:type="pct"/>
            <w:vAlign w:val="center"/>
          </w:tcPr>
          <w:p>
            <w:r>
              <w:t xml:space="preserve">Manjak prihoda od nefinacijske imovine preneseni</w:t>
            </w:r>
          </w:p>
        </w:tc>
        <w:tc>
          <w:tcPr>
            <w:tcW w:w="981" w:type="pct"/>
            <w:vAlign w:val="center"/>
          </w:tcPr>
          <w:p>
            <w:r>
              <w:t xml:space="preserve">93.342,68</w:t>
            </w:r>
          </w:p>
        </w:tc>
        <w:tc>
          <w:tcPr>
            <w:tcW w:w="959" w:type="pct"/>
            <w:vAlign w:val="center"/>
          </w:tcPr>
          <w:p>
            <w:r>
              <w:t xml:space="preserve"> </w:t>
            </w:r>
          </w:p>
        </w:tc>
        <w:tc>
          <w:tcPr>
            <w:tcW w:w="803" w:type="pct"/>
            <w:vAlign w:val="center"/>
          </w:tcPr>
          <w:p>
            <w:r>
              <w:t xml:space="preserve"> </w:t>
            </w:r>
          </w:p>
        </w:tc>
      </w:tr>
      <w:tr>
        <w:trPr>
          <w:trHeight w:val="1214" w:hRule="atLeast"/>
        </w:trPr>
        <w:tc>
          <w:tcPr>
            <w:tcW w:w="2255" w:type="pct"/>
            <w:vAlign w:val="center"/>
          </w:tcPr>
          <w:p>
            <w:r>
              <w:t xml:space="preserve">Ukupni višak/manjak prihoda od nefinancijske imovine</w:t>
            </w:r>
          </w:p>
        </w:tc>
        <w:tc>
          <w:tcPr>
            <w:tcW w:w="981" w:type="pct"/>
            <w:vAlign w:val="center"/>
          </w:tcPr>
          <w:p>
            <w:r>
              <w:t xml:space="preserve">335.771,46</w:t>
            </w:r>
          </w:p>
        </w:tc>
        <w:tc>
          <w:tcPr>
            <w:tcW w:w="959" w:type="pct"/>
            <w:vAlign w:val="center"/>
          </w:tcPr>
          <w:p>
            <w:r>
              <w:t xml:space="preserve">233.821,70</w:t>
            </w:r>
          </w:p>
        </w:tc>
        <w:tc>
          <w:tcPr>
            <w:tcW w:w="803" w:type="pct"/>
            <w:vAlign w:val="center"/>
          </w:tcPr>
          <w:p>
            <w:r>
              <w:t xml:space="preserve">-101.949,76 (manjak)</w:t>
            </w:r>
          </w:p>
        </w:tc>
      </w:tr>
      <w:tr>
        <w:trPr>
          <w:trHeight w:val="542" w:hRule="atLeast"/>
        </w:trPr>
        <w:tc>
          <w:tcPr>
            <w:tcW w:w="2255" w:type="pct"/>
            <w:vAlign w:val="center"/>
          </w:tcPr>
          <w:p>
            <w:r>
              <w:t xml:space="preserve">Rezultat </w:t>
            </w:r>
          </w:p>
        </w:tc>
        <w:tc>
          <w:tcPr>
            <w:tcW w:w="981" w:type="pct"/>
            <w:vAlign w:val="center"/>
          </w:tcPr>
          <w:p>
            <w:r>
              <w:t xml:space="preserve"> </w:t>
            </w:r>
          </w:p>
        </w:tc>
        <w:tc>
          <w:tcPr>
            <w:tcW w:w="959" w:type="pct"/>
            <w:vAlign w:val="center"/>
          </w:tcPr>
          <w:p>
            <w:r>
              <w:t xml:space="preserve"> </w:t>
            </w:r>
          </w:p>
        </w:tc>
        <w:tc>
          <w:tcPr>
            <w:tcW w:w="803" w:type="pct"/>
            <w:vAlign w:val="center"/>
          </w:tcPr>
          <w:p>
            <w:r>
              <w:t xml:space="preserve">-115.938,66</w:t>
            </w:r>
          </w:p>
        </w:tc>
      </w:tr>
    </w:tbl>
    <w:p>
      <w:r>
        <w:t xml:space="preserve">Tijekom 2025. godine evidentirani su na računima kapitalnih sredstava iznosi koji su utrošeni odnosno namijenjeni za nabavu dugotrajne imovine:</w:t>
      </w:r>
    </w:p>
    <w:p>
      <w:r>
        <w:t xml:space="preserve">6362 Kapitale pomoći državnog proračuna u iznosu od 3.407,75 eur (udžbenici i lektire, projekti)</w:t>
      </w:r>
    </w:p>
    <w:p>
      <w:r>
        <w:t xml:space="preserve">67121 Prihodi iz nadležnog proračuna za financiranje rashoda za nabavu nefinancijske imovine u iznosu od 230.413,95 eur. Provedena je korekcija rezultata na način da se za iznos od 233.821,70 eur zadužuje račun viška prihoda poslovanja, a odobrava račun manjka prihoda od nefinancijske imovine. Provedbom korekcije smanjio se manjak prihoda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169.994,98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Obračunati prihodi za plaće i ostalo prema novom pravilniku o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Donacija računala od HEP-a.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na 31.12.2025. nije imala dospjelih obveza.</w:t>
      </w:r>
    </w:p>
    <w:p>
      <w:r>
        <w:t xml:space="preserve">Škola nema sudskih sporova niti ugovorenih odnosa koji mogu postati imovina ili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sudjeluje u Projektu Obrazujmo se zajedno VIII kroz koji se osiguravaju sredstva za isplatu plaća pomoćnicima u nastavi. Škola je u 2025. godine imala zaposleno 11 pomoćnika u nastavi. Za navedeno je ostvaren rashod u iznosu od 80.975,33 eura, 15% je nacionalno sufinanciranje (12.146,30 €) a 85% iz Europskog socijalnog fonda plus (68.829,03 €)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fbd3a6b2044dd8" /></Relationships>
</file>